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6483D" w14:textId="77777777" w:rsidR="00C64B1B" w:rsidRDefault="00C64B1B" w:rsidP="00C64B1B">
      <w:pPr>
        <w:jc w:val="center"/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3544"/>
        <w:gridCol w:w="3827"/>
      </w:tblGrid>
      <w:tr w:rsidR="00A06425" w:rsidRPr="00A06425" w14:paraId="6ABAF900" w14:textId="77777777" w:rsidTr="000747AD">
        <w:tc>
          <w:tcPr>
            <w:tcW w:w="15588" w:type="dxa"/>
            <w:gridSpan w:val="6"/>
            <w:vAlign w:val="center"/>
          </w:tcPr>
          <w:p w14:paraId="49CA2359" w14:textId="579D8EBF" w:rsidR="00A06425" w:rsidRPr="00951611" w:rsidRDefault="00A06425" w:rsidP="00951611">
            <w:pPr>
              <w:spacing w:after="120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5161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51611" w:rsidRPr="00C16839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Opis założeń przedsięwzięcia informatycznego pn.</w:t>
            </w:r>
            <w:r w:rsidR="009B439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51611" w:rsidRPr="0095161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„Portal Danych o Obrocie Mieszkaniami (Portal DOM)”</w:t>
            </w:r>
            <w:r w:rsidR="00951611" w:rsidRPr="0095161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– wnioskodawca: Minister Finansów i</w:t>
            </w:r>
            <w:r w:rsidR="00A17C0C">
              <w:rPr>
                <w:rFonts w:asciiTheme="minorHAnsi" w:hAnsiTheme="minorHAnsi" w:cstheme="minorHAnsi"/>
                <w:i/>
                <w:sz w:val="22"/>
                <w:szCs w:val="22"/>
              </w:rPr>
              <w:t> </w:t>
            </w:r>
            <w:r w:rsidR="00951611" w:rsidRPr="00951611">
              <w:rPr>
                <w:rFonts w:asciiTheme="minorHAnsi" w:hAnsiTheme="minorHAnsi" w:cstheme="minorHAnsi"/>
                <w:i/>
                <w:sz w:val="22"/>
                <w:szCs w:val="22"/>
              </w:rPr>
              <w:t>Gospodarki, beneficjent: Ubezpieczeniowy Fundusz Gwarancyjny</w:t>
            </w:r>
          </w:p>
        </w:tc>
      </w:tr>
      <w:tr w:rsidR="00A06425" w:rsidRPr="00A06425" w14:paraId="39C71C1F" w14:textId="77777777" w:rsidTr="000747AD">
        <w:tc>
          <w:tcPr>
            <w:tcW w:w="562" w:type="dxa"/>
            <w:vAlign w:val="center"/>
          </w:tcPr>
          <w:p w14:paraId="21EF75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7A89FC6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1AA4AFB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3AF5F79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544" w:type="dxa"/>
            <w:vAlign w:val="center"/>
          </w:tcPr>
          <w:p w14:paraId="09283C3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3827" w:type="dxa"/>
            <w:vAlign w:val="center"/>
          </w:tcPr>
          <w:p w14:paraId="679AD415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6C7AB9F3" w14:textId="77777777" w:rsidTr="000747AD">
        <w:tc>
          <w:tcPr>
            <w:tcW w:w="562" w:type="dxa"/>
          </w:tcPr>
          <w:p w14:paraId="268E99B8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47ABF41F" w14:textId="2E370FAB" w:rsidR="00A06425" w:rsidRPr="00A06425" w:rsidRDefault="00831276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2AC11FA8" w14:textId="5EC8C4EB" w:rsidR="00A06425" w:rsidRPr="00A06425" w:rsidRDefault="00831276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5. Główne ryzyka</w:t>
            </w:r>
          </w:p>
        </w:tc>
        <w:tc>
          <w:tcPr>
            <w:tcW w:w="4678" w:type="dxa"/>
          </w:tcPr>
          <w:p w14:paraId="4DE83411" w14:textId="780BA70F" w:rsidR="00A06425" w:rsidRPr="00A06425" w:rsidRDefault="00831276" w:rsidP="00C2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 przewiduje in</w:t>
            </w:r>
            <w:r w:rsidR="0024663D">
              <w:rPr>
                <w:rFonts w:asciiTheme="minorHAnsi" w:hAnsiTheme="minorHAnsi" w:cstheme="minorHAnsi"/>
                <w:sz w:val="22"/>
                <w:szCs w:val="22"/>
              </w:rPr>
              <w:t>icjalny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 weryfikacyjny test prywatności jednocześnie w ryzykach brak jest wskazania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ryzyk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związanych z identyfikowanymi </w:t>
            </w:r>
            <w:r w:rsidRPr="00831276">
              <w:rPr>
                <w:rFonts w:asciiTheme="minorHAnsi" w:hAnsiTheme="minorHAnsi" w:cstheme="minorHAnsi"/>
                <w:sz w:val="22"/>
                <w:szCs w:val="22"/>
              </w:rPr>
              <w:t>podatności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ami</w:t>
            </w:r>
            <w:r w:rsidRPr="00831276">
              <w:rPr>
                <w:rFonts w:asciiTheme="minorHAnsi" w:hAnsiTheme="minorHAnsi" w:cstheme="minorHAnsi"/>
                <w:sz w:val="22"/>
                <w:szCs w:val="22"/>
              </w:rPr>
              <w:t xml:space="preserve"> dot. bezpieczeństwa dla danych osobowych w systemie i całego systemu oraz prowadzenie regularnych audytów bezpieczeństwa.</w:t>
            </w:r>
          </w:p>
        </w:tc>
        <w:tc>
          <w:tcPr>
            <w:tcW w:w="3544" w:type="dxa"/>
          </w:tcPr>
          <w:p w14:paraId="60224751" w14:textId="2FFC90DE" w:rsidR="00A06425" w:rsidRPr="00A06425" w:rsidRDefault="00AF3362" w:rsidP="00C2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1276">
              <w:rPr>
                <w:rFonts w:asciiTheme="minorHAnsi" w:hAnsiTheme="minorHAnsi" w:cstheme="minorHAnsi"/>
                <w:sz w:val="22"/>
                <w:szCs w:val="22"/>
              </w:rPr>
              <w:t xml:space="preserve">Kwestie dotyczące zidentyfikowanych </w:t>
            </w:r>
            <w:proofErr w:type="spellStart"/>
            <w:r w:rsidRPr="00831276">
              <w:rPr>
                <w:rFonts w:asciiTheme="minorHAnsi" w:hAnsiTheme="minorHAnsi" w:cstheme="minorHAnsi"/>
                <w:sz w:val="22"/>
                <w:szCs w:val="22"/>
              </w:rPr>
              <w:t>ryzyk</w:t>
            </w:r>
            <w:proofErr w:type="spellEnd"/>
            <w:r w:rsidRPr="00831276">
              <w:rPr>
                <w:rFonts w:asciiTheme="minorHAnsi" w:hAnsiTheme="minorHAnsi" w:cstheme="minorHAnsi"/>
                <w:sz w:val="22"/>
                <w:szCs w:val="22"/>
              </w:rPr>
              <w:t xml:space="preserve"> związanych z bezpieczeństwem i integralnością danych osobowych powinny znaleźć odzwierciedlenie w pkt. 5.1 lub 5.2</w:t>
            </w:r>
          </w:p>
        </w:tc>
        <w:tc>
          <w:tcPr>
            <w:tcW w:w="3827" w:type="dxa"/>
          </w:tcPr>
          <w:p w14:paraId="1E16D1C8" w14:textId="6ABE577C" w:rsidR="00A06425" w:rsidRPr="00A06425" w:rsidRDefault="000747AD" w:rsidP="007C0B5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Uwaga uwzględniona. Ryzyko dodane do rejestru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ryzyk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A06425" w:rsidRPr="00A06425" w14:paraId="05121785" w14:textId="77777777" w:rsidTr="000747AD">
        <w:tc>
          <w:tcPr>
            <w:tcW w:w="562" w:type="dxa"/>
          </w:tcPr>
          <w:p w14:paraId="3B3C8661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1BFC0EAF" w14:textId="2A928BAE" w:rsidR="00A06425" w:rsidRPr="00A06425" w:rsidRDefault="00E8133E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2FCC0214" w14:textId="0E93FFCB" w:rsidR="00A06425" w:rsidRPr="00A06425" w:rsidRDefault="00A52FD6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FD6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  <w:r w:rsidR="00C133E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52FD6">
              <w:rPr>
                <w:rFonts w:asciiTheme="minorHAnsi" w:hAnsiTheme="minorHAnsi" w:cstheme="minorHAnsi"/>
                <w:sz w:val="22"/>
                <w:szCs w:val="22"/>
              </w:rPr>
              <w:t xml:space="preserve"> Opis stanu obecnego </w:t>
            </w:r>
          </w:p>
        </w:tc>
        <w:tc>
          <w:tcPr>
            <w:tcW w:w="4678" w:type="dxa"/>
          </w:tcPr>
          <w:p w14:paraId="28DC17BB" w14:textId="1BF4157B" w:rsidR="00A52FD6" w:rsidRPr="00A52FD6" w:rsidRDefault="00A52FD6" w:rsidP="00C2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opisie stanu obecnego </w:t>
            </w:r>
            <w:r w:rsidR="00DA482C">
              <w:rPr>
                <w:rFonts w:asciiTheme="minorHAnsi" w:hAnsiTheme="minorHAnsi" w:cstheme="minorHAnsi"/>
                <w:sz w:val="22"/>
                <w:szCs w:val="22"/>
              </w:rPr>
              <w:t xml:space="preserve">(pkt 1.2)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wskazano, że „</w:t>
            </w:r>
            <w:r w:rsidRPr="00A52FD6">
              <w:rPr>
                <w:rFonts w:asciiTheme="minorHAnsi" w:hAnsiTheme="minorHAnsi" w:cstheme="minorHAnsi"/>
                <w:sz w:val="22"/>
                <w:szCs w:val="22"/>
              </w:rPr>
              <w:t>Obywatele nie posiadają bezpłatnego dostępu do średnich cen transakcyjnych lokali</w:t>
            </w:r>
          </w:p>
          <w:p w14:paraId="0AFF0E6E" w14:textId="7214D3B9" w:rsidR="00A77256" w:rsidRDefault="00A52FD6" w:rsidP="00C2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2FD6">
              <w:rPr>
                <w:rFonts w:asciiTheme="minorHAnsi" w:hAnsiTheme="minorHAnsi" w:cstheme="minorHAnsi"/>
                <w:sz w:val="22"/>
                <w:szCs w:val="22"/>
              </w:rPr>
              <w:t>mieszkalnych o zasięgu ogólnokrajowym</w:t>
            </w:r>
            <w:r w:rsidR="00B67C8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67C84" w:rsidRPr="00B67C84">
              <w:rPr>
                <w:rFonts w:asciiTheme="minorHAnsi" w:hAnsiTheme="minorHAnsi" w:cstheme="minorHAnsi"/>
                <w:sz w:val="22"/>
                <w:szCs w:val="22"/>
              </w:rPr>
              <w:t>aktualizowanych na bieżąco, z uwzględnieniem transakcji przeprowadzanych zarówno na rynku wtórnym i pierwotnym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”.</w:t>
            </w:r>
          </w:p>
          <w:p w14:paraId="40787D13" w14:textId="3A134375" w:rsidR="00A06425" w:rsidRPr="00AF3362" w:rsidRDefault="1BB0B57B" w:rsidP="25FFBD27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25FFBD27">
              <w:rPr>
                <w:rFonts w:asciiTheme="minorHAnsi" w:hAnsiTheme="minorHAnsi" w:cstheme="minorBidi"/>
                <w:sz w:val="22"/>
                <w:szCs w:val="22"/>
              </w:rPr>
              <w:t>W powyższym opisie</w:t>
            </w:r>
            <w:r w:rsidR="1EBB473D" w:rsidRPr="25FFBD27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25FFBD27">
              <w:rPr>
                <w:rFonts w:asciiTheme="minorHAnsi" w:hAnsiTheme="minorHAnsi" w:cstheme="minorBidi"/>
                <w:sz w:val="22"/>
                <w:szCs w:val="22"/>
              </w:rPr>
              <w:t xml:space="preserve">brakuje informacji na temat </w:t>
            </w:r>
            <w:r w:rsidR="746B9922" w:rsidRPr="25FFBD27">
              <w:rPr>
                <w:rFonts w:asciiTheme="minorHAnsi" w:hAnsiTheme="minorHAnsi" w:cstheme="minorBidi"/>
                <w:sz w:val="22"/>
                <w:szCs w:val="22"/>
              </w:rPr>
              <w:t xml:space="preserve">danych o cenach ofertowych oraz transakcyjnych udostępnianych w portalu dane.gov.pl. Dane ofertowe są udostępniane </w:t>
            </w:r>
            <w:r w:rsidR="20FE62C7" w:rsidRPr="25FFBD27">
              <w:rPr>
                <w:rFonts w:asciiTheme="minorHAnsi" w:hAnsiTheme="minorHAnsi" w:cstheme="minorBidi"/>
                <w:sz w:val="22"/>
                <w:szCs w:val="22"/>
              </w:rPr>
              <w:t xml:space="preserve">przez deweloperów mieszkaniowych w </w:t>
            </w:r>
            <w:r w:rsidR="33F2DFF8" w:rsidRPr="25FFBD27">
              <w:rPr>
                <w:rFonts w:asciiTheme="minorHAnsi" w:hAnsiTheme="minorHAnsi" w:cstheme="minorBidi"/>
                <w:sz w:val="22"/>
                <w:szCs w:val="22"/>
              </w:rPr>
              <w:t xml:space="preserve">powyższym </w:t>
            </w:r>
            <w:r w:rsidR="20FE62C7" w:rsidRPr="25FFBD27">
              <w:rPr>
                <w:rFonts w:asciiTheme="minorHAnsi" w:hAnsiTheme="minorHAnsi" w:cstheme="minorBidi"/>
                <w:sz w:val="22"/>
                <w:szCs w:val="22"/>
              </w:rPr>
              <w:t xml:space="preserve">portalu </w:t>
            </w:r>
            <w:r w:rsidR="746B9922" w:rsidRPr="25FFBD27">
              <w:rPr>
                <w:rFonts w:asciiTheme="minorHAnsi" w:hAnsiTheme="minorHAnsi" w:cstheme="minorBidi"/>
                <w:sz w:val="22"/>
                <w:szCs w:val="22"/>
              </w:rPr>
              <w:t>na podstawie</w:t>
            </w:r>
            <w:r w:rsidR="20FE62C7" w:rsidRPr="25FFBD27">
              <w:rPr>
                <w:rFonts w:asciiTheme="minorHAnsi" w:hAnsiTheme="minorHAnsi" w:cstheme="minorBidi"/>
                <w:sz w:val="22"/>
                <w:szCs w:val="22"/>
              </w:rPr>
              <w:t xml:space="preserve"> art. 19b ustawy z dnia 20 maja 2021 r. o ochronie praw nabywcy lokalu mieszkalnego lub domu jednorodzinnego oraz Deweloperskim Funduszu Gwarancyjnym. Jednocześnie </w:t>
            </w:r>
            <w:r w:rsidR="0B757A45" w:rsidRPr="25FFBD27">
              <w:rPr>
                <w:rFonts w:asciiTheme="minorHAnsi" w:hAnsiTheme="minorHAnsi" w:cstheme="minorBidi"/>
                <w:sz w:val="22"/>
                <w:szCs w:val="22"/>
              </w:rPr>
              <w:t xml:space="preserve">starostowie udostępniają </w:t>
            </w:r>
            <w:r w:rsidR="20FE62C7" w:rsidRPr="25FFBD27">
              <w:rPr>
                <w:rFonts w:asciiTheme="minorHAnsi" w:hAnsiTheme="minorHAnsi" w:cstheme="minorBidi"/>
                <w:sz w:val="22"/>
                <w:szCs w:val="22"/>
              </w:rPr>
              <w:t>w portalu</w:t>
            </w:r>
            <w:r w:rsidR="19F7B038" w:rsidRPr="25FFBD27">
              <w:rPr>
                <w:rFonts w:asciiTheme="minorHAnsi" w:hAnsiTheme="minorHAnsi" w:cstheme="minorBidi"/>
                <w:sz w:val="22"/>
                <w:szCs w:val="22"/>
              </w:rPr>
              <w:t xml:space="preserve"> danych</w:t>
            </w:r>
            <w:r w:rsidR="20FE62C7" w:rsidRPr="25FFBD27">
              <w:rPr>
                <w:rFonts w:asciiTheme="minorHAnsi" w:hAnsiTheme="minorHAnsi" w:cstheme="minorBidi"/>
                <w:sz w:val="22"/>
                <w:szCs w:val="22"/>
              </w:rPr>
              <w:t xml:space="preserve"> dane z Rejestru Cen Nieruchomo</w:t>
            </w:r>
            <w:r w:rsidR="33F2DFF8" w:rsidRPr="25FFBD27">
              <w:rPr>
                <w:rFonts w:asciiTheme="minorHAnsi" w:hAnsiTheme="minorHAnsi" w:cstheme="minorBidi"/>
                <w:sz w:val="22"/>
                <w:szCs w:val="22"/>
              </w:rPr>
              <w:t>ści</w:t>
            </w:r>
            <w:r w:rsidR="20FE62C7" w:rsidRPr="25FFBD27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="33F2DFF8" w:rsidRPr="25FFBD27">
              <w:rPr>
                <w:rFonts w:asciiTheme="minorHAnsi" w:hAnsiTheme="minorHAnsi" w:cstheme="minorBidi"/>
                <w:sz w:val="22"/>
                <w:szCs w:val="22"/>
              </w:rPr>
              <w:t>(</w:t>
            </w:r>
            <w:r w:rsidR="0B757A45" w:rsidRPr="25FFBD27">
              <w:rPr>
                <w:rFonts w:asciiTheme="minorHAnsi" w:hAnsiTheme="minorHAnsi" w:cstheme="minorBidi"/>
                <w:sz w:val="22"/>
                <w:szCs w:val="22"/>
              </w:rPr>
              <w:t>RCN</w:t>
            </w:r>
            <w:r w:rsidR="33F2DFF8" w:rsidRPr="25FFBD27">
              <w:rPr>
                <w:rFonts w:asciiTheme="minorHAnsi" w:hAnsiTheme="minorHAnsi" w:cstheme="minorBidi"/>
                <w:sz w:val="22"/>
                <w:szCs w:val="22"/>
              </w:rPr>
              <w:t>)</w:t>
            </w:r>
            <w:r w:rsidR="2B782ADE" w:rsidRPr="25FFBD27">
              <w:rPr>
                <w:rFonts w:asciiTheme="minorHAnsi" w:hAnsiTheme="minorHAnsi" w:cstheme="minorBidi"/>
                <w:sz w:val="22"/>
                <w:szCs w:val="22"/>
              </w:rPr>
              <w:t xml:space="preserve"> zgodnie z rekomendacją Głównego Urzędu Geodezji i Kartografii</w:t>
            </w:r>
            <w:r w:rsidR="729E94E3" w:rsidRPr="25FFBD27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="4F0F0A37" w:rsidRPr="25FFBD27">
              <w:rPr>
                <w:rFonts w:asciiTheme="minorHAnsi" w:hAnsiTheme="minorHAnsi" w:cstheme="minorBidi"/>
                <w:sz w:val="22"/>
                <w:szCs w:val="22"/>
              </w:rPr>
              <w:t>(</w:t>
            </w:r>
            <w:hyperlink r:id="rId8">
              <w:r w:rsidR="4F0F0A37" w:rsidRPr="25FFBD27">
                <w:rPr>
                  <w:rFonts w:asciiTheme="minorHAnsi" w:hAnsiTheme="minorHAnsi" w:cstheme="minorBidi"/>
                  <w:sz w:val="22"/>
                  <w:szCs w:val="22"/>
                </w:rPr>
                <w:t>https://www.geoportal.gov.pl/aktualnosci/instrukcja-publikacji-danych-rcn-na-portalu-otwartych-danych/</w:t>
              </w:r>
            </w:hyperlink>
            <w:r w:rsidR="4F0F0A37" w:rsidRPr="25FFBD27">
              <w:rPr>
                <w:rFonts w:asciiTheme="minorHAnsi" w:hAnsiTheme="minorHAnsi" w:cstheme="minorBidi"/>
                <w:sz w:val="22"/>
                <w:szCs w:val="22"/>
              </w:rPr>
              <w:t>)</w:t>
            </w:r>
            <w:r w:rsidR="2B782ADE" w:rsidRPr="25FFBD27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="2CAA82D0" w:rsidRPr="25FFBD27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="729E94E3" w:rsidRPr="25FFBD27">
              <w:rPr>
                <w:rFonts w:asciiTheme="minorHAnsi" w:hAnsiTheme="minorHAnsi" w:cstheme="minorBidi"/>
                <w:sz w:val="22"/>
                <w:szCs w:val="22"/>
              </w:rPr>
              <w:t xml:space="preserve">Portal danych jako miejsce udostępniania danych </w:t>
            </w:r>
            <w:r w:rsidR="4F0F0A37" w:rsidRPr="25FFBD27">
              <w:rPr>
                <w:rFonts w:asciiTheme="minorHAnsi" w:hAnsiTheme="minorHAnsi" w:cstheme="minorBidi"/>
                <w:sz w:val="22"/>
                <w:szCs w:val="22"/>
              </w:rPr>
              <w:t xml:space="preserve">z RCN </w:t>
            </w:r>
            <w:r w:rsidR="729E94E3" w:rsidRPr="25FFBD27">
              <w:rPr>
                <w:rFonts w:asciiTheme="minorHAnsi" w:hAnsiTheme="minorHAnsi" w:cstheme="minorBidi"/>
                <w:sz w:val="22"/>
                <w:szCs w:val="22"/>
              </w:rPr>
              <w:t xml:space="preserve">został również </w:t>
            </w:r>
            <w:r w:rsidR="729E94E3" w:rsidRPr="25FFBD27"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wskazany w projekcie rozporządzenia Ministra Finansów i Gospodarki zmieniającego rozporządzenie w sprawie ewidencji gruntów i budynków</w:t>
            </w:r>
            <w:r w:rsidR="1EBB473D" w:rsidRPr="25FFBD27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6D43F0E" w14:textId="4B36B07B" w:rsidR="00933CF5" w:rsidRDefault="00933CF5" w:rsidP="00C2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</w:t>
            </w:r>
            <w:r w:rsidR="00C20D4B">
              <w:rPr>
                <w:rFonts w:asciiTheme="minorHAnsi" w:hAnsiTheme="minorHAnsi" w:cstheme="minorHAnsi"/>
                <w:sz w:val="22"/>
                <w:szCs w:val="22"/>
              </w:rPr>
              <w:t xml:space="preserve">śba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="00AF3362">
              <w:rPr>
                <w:rFonts w:asciiTheme="minorHAnsi" w:hAnsiTheme="minorHAnsi" w:cstheme="minorHAnsi"/>
                <w:sz w:val="22"/>
                <w:szCs w:val="22"/>
              </w:rPr>
              <w:t>uzupełnienie OZPI</w:t>
            </w:r>
            <w:r w:rsidR="00C20D4B">
              <w:rPr>
                <w:rFonts w:asciiTheme="minorHAnsi" w:hAnsiTheme="minorHAnsi" w:cstheme="minorHAnsi"/>
                <w:sz w:val="22"/>
                <w:szCs w:val="22"/>
              </w:rPr>
              <w:t xml:space="preserve"> w pkt 1.2.</w:t>
            </w:r>
          </w:p>
          <w:p w14:paraId="4873F3A2" w14:textId="77777777" w:rsidR="00933CF5" w:rsidRDefault="00933CF5" w:rsidP="00800FB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632A80" w14:textId="6D6753A9" w:rsidR="00933CF5" w:rsidRPr="00A06425" w:rsidRDefault="00933CF5" w:rsidP="00C20D4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C626038" w14:textId="4531AE95" w:rsidR="00A06425" w:rsidRPr="00A06425" w:rsidRDefault="007F3EA3" w:rsidP="00B14ECB">
            <w:pPr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Zaktualizowano opis stanu obecnego</w:t>
            </w:r>
            <w:r w:rsidR="00247B7C">
              <w:rPr>
                <w:rFonts w:asciiTheme="minorHAnsi" w:hAnsiTheme="minorHAnsi" w:cstheme="minorBidi"/>
                <w:sz w:val="22"/>
                <w:szCs w:val="22"/>
              </w:rPr>
              <w:t xml:space="preserve"> poprzez wskazanie </w:t>
            </w:r>
            <w:r w:rsidR="00247B7C">
              <w:rPr>
                <w:rFonts w:asciiTheme="minorHAnsi" w:hAnsiTheme="minorHAnsi" w:cstheme="minorHAnsi"/>
                <w:sz w:val="22"/>
                <w:szCs w:val="22"/>
              </w:rPr>
              <w:t>, że</w:t>
            </w:r>
            <w:r w:rsidR="00247B7C" w:rsidRPr="004933F2">
              <w:rPr>
                <w:rFonts w:asciiTheme="minorHAnsi" w:hAnsiTheme="minorHAnsi" w:cstheme="minorHAnsi"/>
                <w:sz w:val="22"/>
                <w:szCs w:val="22"/>
              </w:rPr>
              <w:t xml:space="preserve"> dane </w:t>
            </w:r>
            <w:r w:rsidR="00247B7C">
              <w:rPr>
                <w:rFonts w:asciiTheme="minorHAnsi" w:hAnsiTheme="minorHAnsi" w:cstheme="minorHAnsi"/>
                <w:sz w:val="22"/>
                <w:szCs w:val="22"/>
              </w:rPr>
              <w:t>w Portalu DOM będą obejmować</w:t>
            </w:r>
            <w:r w:rsidR="00EC4749">
              <w:rPr>
                <w:rFonts w:asciiTheme="minorHAnsi" w:hAnsiTheme="minorHAnsi" w:cstheme="minorHAnsi"/>
                <w:sz w:val="22"/>
                <w:szCs w:val="22"/>
              </w:rPr>
              <w:t xml:space="preserve"> ceny </w:t>
            </w:r>
            <w:r w:rsidR="00EC4749" w:rsidRPr="00E245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transakcyjne</w:t>
            </w:r>
            <w:r w:rsidR="00247B7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2661A"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r w:rsidR="00247B7C">
              <w:rPr>
                <w:rFonts w:asciiTheme="minorHAnsi" w:hAnsiTheme="minorHAnsi" w:cstheme="minorHAnsi"/>
                <w:sz w:val="22"/>
                <w:szCs w:val="22"/>
              </w:rPr>
              <w:t>rynku</w:t>
            </w:r>
            <w:r w:rsidR="00C50063">
              <w:rPr>
                <w:rFonts w:asciiTheme="minorHAnsi" w:hAnsiTheme="minorHAnsi" w:cstheme="minorHAnsi"/>
                <w:sz w:val="22"/>
                <w:szCs w:val="22"/>
              </w:rPr>
              <w:t xml:space="preserve"> wtórnego i </w:t>
            </w:r>
            <w:r w:rsidR="00247B7C">
              <w:rPr>
                <w:rFonts w:asciiTheme="minorHAnsi" w:hAnsiTheme="minorHAnsi" w:cstheme="minorHAnsi"/>
                <w:sz w:val="22"/>
                <w:szCs w:val="22"/>
              </w:rPr>
              <w:t xml:space="preserve"> pierwotnego </w:t>
            </w:r>
            <w:r w:rsidR="00247B7C" w:rsidRPr="00F2661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 </w:t>
            </w:r>
            <w:r w:rsidR="00EC4749" w:rsidRPr="00F2661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tym </w:t>
            </w:r>
            <w:r w:rsidR="00247B7C" w:rsidRPr="00F2661A">
              <w:rPr>
                <w:rFonts w:asciiTheme="minorHAnsi" w:hAnsiTheme="minorHAnsi" w:cstheme="minorHAnsi"/>
                <w:bCs/>
                <w:sz w:val="22"/>
                <w:szCs w:val="22"/>
              </w:rPr>
              <w:t>zakresie cen z umów deweloperskich</w:t>
            </w:r>
            <w:r w:rsidR="00C50063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="00E24579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="00E24579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="00E24579" w:rsidRPr="00EE6B4B">
              <w:rPr>
                <w:rFonts w:asciiTheme="minorHAnsi" w:hAnsiTheme="minorHAnsi" w:cstheme="minorHAnsi"/>
                <w:b/>
                <w:sz w:val="22"/>
                <w:szCs w:val="22"/>
              </w:rPr>
              <w:t>Wyjaśnienie:</w:t>
            </w:r>
            <w:r w:rsidR="00E2457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247B7C" w:rsidRPr="25E62388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="11E1DC71" w:rsidRPr="25E62388">
              <w:rPr>
                <w:rFonts w:asciiTheme="minorHAnsi" w:hAnsiTheme="minorHAnsi" w:cstheme="minorBidi"/>
                <w:sz w:val="22"/>
                <w:szCs w:val="22"/>
              </w:rPr>
              <w:t>P</w:t>
            </w:r>
            <w:r w:rsidR="11782155" w:rsidRPr="25E62388">
              <w:rPr>
                <w:rFonts w:asciiTheme="minorHAnsi" w:hAnsiTheme="minorHAnsi" w:cstheme="minorBidi"/>
                <w:sz w:val="22"/>
                <w:szCs w:val="22"/>
              </w:rPr>
              <w:t>rojekt Portal DOM realizowany jest na podstawie</w:t>
            </w:r>
            <w:r w:rsidR="19EF40C7" w:rsidRPr="25E62388">
              <w:rPr>
                <w:rFonts w:asciiTheme="minorHAnsi" w:hAnsiTheme="minorHAnsi" w:cstheme="minorBidi"/>
                <w:sz w:val="22"/>
                <w:szCs w:val="22"/>
              </w:rPr>
              <w:t xml:space="preserve"> obowi</w:t>
            </w:r>
            <w:r w:rsidR="4EAA39E4" w:rsidRPr="25E62388">
              <w:rPr>
                <w:rFonts w:asciiTheme="minorHAnsi" w:hAnsiTheme="minorHAnsi" w:cstheme="minorBidi"/>
                <w:sz w:val="22"/>
                <w:szCs w:val="22"/>
              </w:rPr>
              <w:t>ą</w:t>
            </w:r>
            <w:r w:rsidR="19EF40C7" w:rsidRPr="25E62388">
              <w:rPr>
                <w:rFonts w:asciiTheme="minorHAnsi" w:hAnsiTheme="minorHAnsi" w:cstheme="minorBidi"/>
                <w:sz w:val="22"/>
                <w:szCs w:val="22"/>
              </w:rPr>
              <w:t>zujących</w:t>
            </w:r>
            <w:r w:rsidR="11782155" w:rsidRPr="25E62388">
              <w:rPr>
                <w:rFonts w:asciiTheme="minorHAnsi" w:hAnsiTheme="minorHAnsi" w:cstheme="minorBidi"/>
                <w:sz w:val="22"/>
                <w:szCs w:val="22"/>
              </w:rPr>
              <w:t xml:space="preserve"> przepisów</w:t>
            </w:r>
            <w:r w:rsidR="2CD51906" w:rsidRPr="25E62388">
              <w:rPr>
                <w:rFonts w:asciiTheme="minorHAnsi" w:hAnsiTheme="minorHAnsi" w:cstheme="minorBidi"/>
                <w:sz w:val="22"/>
                <w:szCs w:val="22"/>
              </w:rPr>
              <w:t xml:space="preserve"> ustawy </w:t>
            </w:r>
            <w:r w:rsidR="38CA31E6" w:rsidRPr="25E62388">
              <w:rPr>
                <w:rFonts w:ascii="Calibri" w:eastAsia="Calibri" w:hAnsi="Calibri" w:cs="Calibri"/>
                <w:sz w:val="22"/>
                <w:szCs w:val="22"/>
              </w:rPr>
              <w:t xml:space="preserve">z dnia 17 października 2025 r. o zmianie ustawy o ochronie praw nabywcy lokalu mieszkalnego lub domu jednorodzinnego oraz Deweloperskim Funduszu Gwarancyjnym oraz niektórych innych ustaw (dz. U. 2025 r. poz. 1669). </w:t>
            </w:r>
            <w:r w:rsidR="5D48C615" w:rsidRPr="25E62388">
              <w:rPr>
                <w:rFonts w:ascii="Calibri" w:eastAsia="Calibri" w:hAnsi="Calibri" w:cs="Calibri"/>
                <w:sz w:val="22"/>
                <w:szCs w:val="22"/>
              </w:rPr>
              <w:t>Na podstawie</w:t>
            </w:r>
            <w:r w:rsidR="3531FAB9" w:rsidRPr="25E62388">
              <w:rPr>
                <w:rFonts w:ascii="Calibri" w:eastAsia="Calibri" w:hAnsi="Calibri" w:cs="Calibri"/>
                <w:sz w:val="22"/>
                <w:szCs w:val="22"/>
              </w:rPr>
              <w:t xml:space="preserve"> obowiązujących</w:t>
            </w:r>
            <w:r w:rsidR="5D48C615" w:rsidRPr="25E62388">
              <w:rPr>
                <w:rFonts w:ascii="Calibri" w:eastAsia="Calibri" w:hAnsi="Calibri" w:cs="Calibri"/>
                <w:sz w:val="22"/>
                <w:szCs w:val="22"/>
              </w:rPr>
              <w:t xml:space="preserve"> przepisów ww. Ustawy obecnie w Portalu DOM nie będą prezentowane ceny ofertowe</w:t>
            </w:r>
            <w:r w:rsidR="0EB48BC5" w:rsidRPr="25E62388">
              <w:rPr>
                <w:rFonts w:ascii="Calibri" w:eastAsia="Calibri" w:hAnsi="Calibri" w:cs="Calibri"/>
                <w:sz w:val="22"/>
                <w:szCs w:val="22"/>
              </w:rPr>
              <w:t>, o których mowa w art.1</w:t>
            </w:r>
            <w:r w:rsidR="0EB48BC5" w:rsidRPr="25E62388">
              <w:rPr>
                <w:rFonts w:asciiTheme="minorHAnsi" w:hAnsiTheme="minorHAnsi" w:cstheme="minorBidi"/>
                <w:sz w:val="22"/>
                <w:szCs w:val="22"/>
              </w:rPr>
              <w:t xml:space="preserve">9b ustawy z dnia 20 maja 2021 r. o ochronie praw nabywcy lokalu mieszkalnego lub domu jednorodzinnego oraz Deweloperskim </w:t>
            </w:r>
            <w:r w:rsidR="0EB48BC5" w:rsidRPr="25E62388"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Funduszu Gwarancyjnym.</w:t>
            </w:r>
            <w:r w:rsidR="25745BE5" w:rsidRPr="25E62388">
              <w:rPr>
                <w:rFonts w:asciiTheme="minorHAnsi" w:hAnsiTheme="minorHAnsi" w:cstheme="minorBidi"/>
                <w:sz w:val="22"/>
                <w:szCs w:val="22"/>
              </w:rPr>
              <w:t xml:space="preserve"> Celem Portalu DOM jest prezentacja </w:t>
            </w:r>
            <w:r w:rsidR="25745BE5" w:rsidRPr="00346E16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aktualnych średnich cen transakcy</w:t>
            </w:r>
            <w:r w:rsidR="1AFD97A3" w:rsidRPr="00346E16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j</w:t>
            </w:r>
            <w:r w:rsidR="25745BE5" w:rsidRPr="00346E16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nych</w:t>
            </w:r>
            <w:r w:rsidR="25745BE5" w:rsidRPr="25E62388">
              <w:rPr>
                <w:rFonts w:asciiTheme="minorHAnsi" w:hAnsiTheme="minorHAnsi" w:cstheme="minorBidi"/>
                <w:sz w:val="22"/>
                <w:szCs w:val="22"/>
              </w:rPr>
              <w:t xml:space="preserve"> zarówno na rynku pierwotnym, w tym deweloperskim jak i rynku wt</w:t>
            </w:r>
            <w:r w:rsidR="0AC52F65" w:rsidRPr="25E62388">
              <w:rPr>
                <w:rFonts w:asciiTheme="minorHAnsi" w:hAnsiTheme="minorHAnsi" w:cstheme="minorBidi"/>
                <w:sz w:val="22"/>
                <w:szCs w:val="22"/>
              </w:rPr>
              <w:t>órnym.</w:t>
            </w:r>
          </w:p>
        </w:tc>
      </w:tr>
      <w:tr w:rsidR="003A1FCA" w:rsidRPr="00A06425" w14:paraId="7EE5527F" w14:textId="77777777" w:rsidTr="000747AD">
        <w:tc>
          <w:tcPr>
            <w:tcW w:w="562" w:type="dxa"/>
          </w:tcPr>
          <w:p w14:paraId="30E58164" w14:textId="3E8EE964" w:rsidR="003A1FCA" w:rsidRPr="00A06425" w:rsidRDefault="003A1FCA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FA1A35B" w14:textId="77777777" w:rsidR="003A1FCA" w:rsidRDefault="003A1FCA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04C595" w14:textId="77777777" w:rsidR="003A1FCA" w:rsidRPr="00A52FD6" w:rsidRDefault="003A1FCA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7D1CB1C7" w14:textId="77777777" w:rsidR="003A1FCA" w:rsidRDefault="003A1FCA" w:rsidP="00C2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0DD1887" w14:textId="77777777" w:rsidR="003A1FCA" w:rsidRDefault="003A1FCA" w:rsidP="00C2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14:paraId="4D02C8FC" w14:textId="77777777" w:rsidR="003A1FCA" w:rsidRPr="00A06425" w:rsidRDefault="003A1FCA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F3362" w:rsidRPr="00A06425" w14:paraId="7ADC0371" w14:textId="77777777" w:rsidTr="000747AD">
        <w:tc>
          <w:tcPr>
            <w:tcW w:w="562" w:type="dxa"/>
          </w:tcPr>
          <w:p w14:paraId="15C4C580" w14:textId="533B5105" w:rsidR="00AF3362" w:rsidRPr="00A06425" w:rsidRDefault="00AF3362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38D98A34" w14:textId="6FCAF373" w:rsidR="00AF3362" w:rsidRDefault="00AF3362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36D0DE60" w14:textId="77777777" w:rsidR="00AF3362" w:rsidRPr="00AF3362" w:rsidRDefault="00AF3362" w:rsidP="00AF33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3362">
              <w:rPr>
                <w:rFonts w:asciiTheme="minorHAnsi" w:hAnsiTheme="minorHAnsi" w:cstheme="minorHAnsi"/>
                <w:sz w:val="22"/>
                <w:szCs w:val="22"/>
              </w:rPr>
              <w:t>2.3. Udostępnione informacje sektora publicznego i</w:t>
            </w:r>
          </w:p>
          <w:p w14:paraId="0C97CA68" w14:textId="05EFECC2" w:rsidR="00AF3362" w:rsidRPr="00A52FD6" w:rsidRDefault="00AF3362" w:rsidP="00AF33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F3362">
              <w:rPr>
                <w:rFonts w:asciiTheme="minorHAnsi" w:hAnsiTheme="minorHAnsi" w:cstheme="minorHAnsi"/>
                <w:sz w:val="22"/>
                <w:szCs w:val="22"/>
              </w:rPr>
              <w:t>zdigitalizowane</w:t>
            </w:r>
            <w:proofErr w:type="spellEnd"/>
            <w:r w:rsidRPr="00AF3362">
              <w:rPr>
                <w:rFonts w:asciiTheme="minorHAnsi" w:hAnsiTheme="minorHAnsi" w:cstheme="minorHAnsi"/>
                <w:sz w:val="22"/>
                <w:szCs w:val="22"/>
              </w:rPr>
              <w:t xml:space="preserve"> zasoby</w:t>
            </w:r>
          </w:p>
        </w:tc>
        <w:tc>
          <w:tcPr>
            <w:tcW w:w="4678" w:type="dxa"/>
          </w:tcPr>
          <w:p w14:paraId="363C9F45" w14:textId="4B21576E" w:rsidR="00AF3362" w:rsidRPr="00E8133E" w:rsidRDefault="00AF3362" w:rsidP="00AF336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Projekt przewiduje bezpłatne udostępnienie informacji sektora publicznego. OZPI nie zawiera natomiast informacji co do </w:t>
            </w:r>
            <w:r w:rsidRPr="00AF3362">
              <w:rPr>
                <w:rFonts w:asciiTheme="minorHAnsi" w:hAnsiTheme="minorHAnsi" w:cstheme="minorHAnsi"/>
                <w:sz w:val="22"/>
                <w:szCs w:val="22"/>
              </w:rPr>
              <w:t xml:space="preserve">potencjalnej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AF3362">
              <w:rPr>
                <w:rFonts w:asciiTheme="minorHAnsi" w:hAnsiTheme="minorHAnsi" w:cstheme="minorHAnsi"/>
                <w:sz w:val="22"/>
                <w:szCs w:val="22"/>
              </w:rPr>
              <w:t>ożliwości integracji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Portalu DOM z portalem dane.gov.pl </w:t>
            </w:r>
            <w:r w:rsidRPr="00AF3362">
              <w:rPr>
                <w:rFonts w:asciiTheme="minorHAnsi" w:hAnsiTheme="minorHAnsi" w:cstheme="minorHAnsi"/>
                <w:sz w:val="22"/>
                <w:szCs w:val="22"/>
              </w:rPr>
              <w:t xml:space="preserve">lub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możliwości </w:t>
            </w:r>
            <w:r w:rsidRPr="00AF3362">
              <w:rPr>
                <w:rFonts w:asciiTheme="minorHAnsi" w:hAnsiTheme="minorHAnsi" w:cstheme="minorHAnsi"/>
                <w:sz w:val="22"/>
                <w:szCs w:val="22"/>
              </w:rPr>
              <w:t>przekazania danych do portalu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dane.gov.pl. W związku z</w:t>
            </w:r>
            <w:r w:rsidR="00C20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F3362">
              <w:rPr>
                <w:rFonts w:asciiTheme="minorHAnsi" w:hAnsiTheme="minorHAnsi" w:cstheme="minorHAnsi"/>
                <w:sz w:val="22"/>
                <w:szCs w:val="22"/>
              </w:rPr>
              <w:t>koniecznoś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cią</w:t>
            </w:r>
            <w:r w:rsidRPr="00AF3362">
              <w:rPr>
                <w:rFonts w:asciiTheme="minorHAnsi" w:hAnsiTheme="minorHAnsi" w:cstheme="minorHAnsi"/>
                <w:sz w:val="22"/>
                <w:szCs w:val="22"/>
              </w:rPr>
              <w:t xml:space="preserve"> stosowania zasad „otwartości w fazie projektowania” oraz „otwartości domyślnej” przy budowaniu i modernizowaniu infrastruktury informatycznej</w:t>
            </w:r>
            <w:r w:rsidR="00C20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20D4B" w:rsidRPr="00C20D4B">
              <w:rPr>
                <w:rFonts w:asciiTheme="minorHAnsi" w:hAnsiTheme="minorHAnsi" w:cstheme="minorHAnsi"/>
                <w:sz w:val="22"/>
                <w:szCs w:val="22"/>
              </w:rPr>
              <w:t>wskazana jest analiza</w:t>
            </w:r>
            <w:r w:rsidR="00C20D4B">
              <w:rPr>
                <w:rFonts w:asciiTheme="minorHAnsi" w:hAnsiTheme="minorHAnsi" w:cstheme="minorHAnsi"/>
                <w:sz w:val="22"/>
                <w:szCs w:val="22"/>
              </w:rPr>
              <w:t xml:space="preserve"> pod kątem ponownego wykorzystywania danych udostępnianych w ramach projektu.</w:t>
            </w:r>
          </w:p>
        </w:tc>
        <w:tc>
          <w:tcPr>
            <w:tcW w:w="3544" w:type="dxa"/>
          </w:tcPr>
          <w:p w14:paraId="76C13B7F" w14:textId="2B694A81" w:rsidR="00C20D4B" w:rsidRDefault="00C20D4B" w:rsidP="00C2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Prośba o wyjaśnienie i ewentualne uzupełnienie OZPI.</w:t>
            </w:r>
          </w:p>
          <w:p w14:paraId="4EB6E957" w14:textId="77777777" w:rsidR="00AF3362" w:rsidRPr="00E8133E" w:rsidRDefault="00AF3362" w:rsidP="00E8133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A228F30" w14:textId="419E22AB" w:rsidR="00AF3362" w:rsidRPr="00A06425" w:rsidRDefault="00E727ED" w:rsidP="00AF41CE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EE6B4B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Wyjaśnienie:</w:t>
            </w:r>
            <w:r w:rsidR="00EE6B4B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="6FFD9FEC" w:rsidRPr="25E62388">
              <w:rPr>
                <w:rFonts w:asciiTheme="minorHAnsi" w:hAnsiTheme="minorHAnsi" w:cstheme="minorBidi"/>
                <w:sz w:val="22"/>
                <w:szCs w:val="22"/>
              </w:rPr>
              <w:t xml:space="preserve">Projekt Portal DOM realizowany jest na podstawie obowiązujących przepisów ustawy </w:t>
            </w:r>
            <w:r w:rsidR="6FFD9FEC" w:rsidRPr="25E62388">
              <w:rPr>
                <w:rFonts w:ascii="Calibri" w:eastAsia="Calibri" w:hAnsi="Calibri" w:cs="Calibri"/>
                <w:sz w:val="22"/>
                <w:szCs w:val="22"/>
              </w:rPr>
              <w:t xml:space="preserve">z dnia 17 października 2025 r. o zmianie ustawy o ochronie praw nabywcy lokalu mieszkalnego lub domu jednorodzinnego oraz Deweloperskim Funduszu Gwarancyjnym oraz niektórych innych ustaw (dz. U. 2025 r. poz. 1669) </w:t>
            </w:r>
            <w:r w:rsidR="283BF876" w:rsidRPr="25E62388">
              <w:rPr>
                <w:rFonts w:ascii="Calibri" w:eastAsia="Calibri" w:hAnsi="Calibri" w:cs="Calibri"/>
                <w:sz w:val="22"/>
                <w:szCs w:val="22"/>
              </w:rPr>
              <w:t xml:space="preserve">a zatem udostępnianie danych </w:t>
            </w:r>
            <w:r w:rsidR="6A68C66E" w:rsidRPr="25E62388">
              <w:rPr>
                <w:rFonts w:ascii="Calibri" w:eastAsia="Calibri" w:hAnsi="Calibri" w:cs="Calibri"/>
                <w:sz w:val="22"/>
                <w:szCs w:val="22"/>
              </w:rPr>
              <w:t>może nastąpić w ściśle określonych przypadkach, w tym na podstawie art. 56e</w:t>
            </w:r>
            <w:r w:rsidR="32CE6741" w:rsidRPr="25E62388"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 w:rsidR="6A68C66E" w:rsidRPr="25E62388">
              <w:rPr>
                <w:rFonts w:ascii="Calibri" w:eastAsia="Calibri" w:hAnsi="Calibri" w:cs="Calibri"/>
                <w:sz w:val="22"/>
                <w:szCs w:val="22"/>
              </w:rPr>
              <w:t xml:space="preserve"> któ</w:t>
            </w:r>
            <w:r w:rsidR="350E83FB" w:rsidRPr="25E62388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="6A68C66E" w:rsidRPr="25E62388">
              <w:rPr>
                <w:rFonts w:ascii="Calibri" w:eastAsia="Calibri" w:hAnsi="Calibri" w:cs="Calibri"/>
                <w:sz w:val="22"/>
                <w:szCs w:val="22"/>
              </w:rPr>
              <w:t>y przewiduje</w:t>
            </w:r>
            <w:r w:rsidR="1167FC9A" w:rsidRPr="25E62388">
              <w:rPr>
                <w:rFonts w:ascii="Calibri" w:eastAsia="Calibri" w:hAnsi="Calibri" w:cs="Calibri"/>
                <w:sz w:val="22"/>
                <w:szCs w:val="22"/>
              </w:rPr>
              <w:t xml:space="preserve"> możliwość</w:t>
            </w:r>
            <w:r w:rsidR="6A68C66E" w:rsidRPr="25E62388">
              <w:rPr>
                <w:rFonts w:ascii="Calibri" w:eastAsia="Calibri" w:hAnsi="Calibri" w:cs="Calibri"/>
                <w:sz w:val="22"/>
                <w:szCs w:val="22"/>
              </w:rPr>
              <w:t xml:space="preserve"> udostępnieni</w:t>
            </w:r>
            <w:r w:rsidR="57145AD5" w:rsidRPr="25E62388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="6A68C66E" w:rsidRPr="25E62388">
              <w:rPr>
                <w:rFonts w:ascii="Calibri" w:eastAsia="Calibri" w:hAnsi="Calibri" w:cs="Calibri"/>
                <w:sz w:val="22"/>
                <w:szCs w:val="22"/>
              </w:rPr>
              <w:t xml:space="preserve"> danych stat</w:t>
            </w:r>
            <w:r w:rsidR="7B8EAEF7" w:rsidRPr="25E62388">
              <w:rPr>
                <w:rFonts w:ascii="Calibri" w:eastAsia="Calibri" w:hAnsi="Calibri" w:cs="Calibri"/>
                <w:sz w:val="22"/>
                <w:szCs w:val="22"/>
              </w:rPr>
              <w:t>ys</w:t>
            </w:r>
            <w:r w:rsidR="6A68C66E" w:rsidRPr="25E62388">
              <w:rPr>
                <w:rFonts w:ascii="Calibri" w:eastAsia="Calibri" w:hAnsi="Calibri" w:cs="Calibri"/>
                <w:sz w:val="22"/>
                <w:szCs w:val="22"/>
              </w:rPr>
              <w:t xml:space="preserve">tycznych </w:t>
            </w:r>
            <w:r w:rsidR="2B3D7EC7" w:rsidRPr="25E62388">
              <w:rPr>
                <w:rFonts w:ascii="Calibri" w:eastAsia="Calibri" w:hAnsi="Calibri" w:cs="Calibri"/>
                <w:sz w:val="22"/>
                <w:szCs w:val="22"/>
              </w:rPr>
              <w:t>enumeratywnie wyliczonym</w:t>
            </w:r>
            <w:r w:rsidR="03881F5A" w:rsidRPr="25E62388">
              <w:rPr>
                <w:rFonts w:ascii="Calibri" w:eastAsia="Calibri" w:hAnsi="Calibri" w:cs="Calibri"/>
                <w:sz w:val="22"/>
                <w:szCs w:val="22"/>
              </w:rPr>
              <w:t xml:space="preserve"> podmiotom</w:t>
            </w:r>
            <w:r w:rsidR="0C4CB622" w:rsidRPr="25E62388"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r w:rsidR="5F9F3F95" w:rsidRPr="25E62388">
              <w:rPr>
                <w:rFonts w:ascii="Calibri" w:eastAsia="Calibri" w:hAnsi="Calibri" w:cs="Calibri"/>
                <w:sz w:val="22"/>
                <w:szCs w:val="22"/>
              </w:rPr>
              <w:t>Przepisy ww. Ustawy nie prz</w:t>
            </w:r>
            <w:r w:rsidR="29EC6665" w:rsidRPr="25E62388"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r w:rsidR="5F9F3F95" w:rsidRPr="25E62388">
              <w:rPr>
                <w:rFonts w:ascii="Calibri" w:eastAsia="Calibri" w:hAnsi="Calibri" w:cs="Calibri"/>
                <w:sz w:val="22"/>
                <w:szCs w:val="22"/>
              </w:rPr>
              <w:t>widują</w:t>
            </w:r>
            <w:r w:rsidR="7D753357" w:rsidRPr="25E62388">
              <w:rPr>
                <w:rFonts w:ascii="Calibri" w:eastAsia="Calibri" w:hAnsi="Calibri" w:cs="Calibri"/>
                <w:sz w:val="22"/>
                <w:szCs w:val="22"/>
              </w:rPr>
              <w:t xml:space="preserve"> integracj</w:t>
            </w:r>
            <w:r w:rsidR="0DBC11CD" w:rsidRPr="25E62388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="7D753357" w:rsidRPr="25E62388">
              <w:rPr>
                <w:rFonts w:ascii="Calibri" w:eastAsia="Calibri" w:hAnsi="Calibri" w:cs="Calibri"/>
                <w:sz w:val="22"/>
                <w:szCs w:val="22"/>
              </w:rPr>
              <w:t xml:space="preserve"> Portalu DOM </w:t>
            </w:r>
            <w:r w:rsidR="0C4CB622" w:rsidRPr="25E62388">
              <w:rPr>
                <w:rFonts w:ascii="Calibri" w:eastAsia="Calibri" w:hAnsi="Calibri" w:cs="Calibri"/>
                <w:sz w:val="22"/>
                <w:szCs w:val="22"/>
              </w:rPr>
              <w:t>z portalem dane.gov.pl</w:t>
            </w:r>
            <w:r w:rsidR="10855C7D" w:rsidRPr="25E62388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</w:tr>
      <w:tr w:rsidR="00A06425" w:rsidRPr="00A06425" w14:paraId="61CA0A1A" w14:textId="77777777" w:rsidTr="000747AD">
        <w:trPr>
          <w:trHeight w:val="300"/>
        </w:trPr>
        <w:tc>
          <w:tcPr>
            <w:tcW w:w="562" w:type="dxa"/>
          </w:tcPr>
          <w:p w14:paraId="221CEE42" w14:textId="5629807D" w:rsidR="00A06425" w:rsidRPr="00A06425" w:rsidRDefault="00AF3362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4AED2282" w14:textId="7A1CCABD" w:rsidR="00A06425" w:rsidRPr="00A06425" w:rsidRDefault="00E8133E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0651A87A" w14:textId="5E726F24" w:rsidR="00A06425" w:rsidRPr="00A06425" w:rsidRDefault="00E8133E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FD6">
              <w:rPr>
                <w:rFonts w:asciiTheme="minorHAnsi" w:hAnsiTheme="minorHAnsi" w:cstheme="minorHAnsi"/>
                <w:sz w:val="22"/>
                <w:szCs w:val="22"/>
              </w:rPr>
              <w:t xml:space="preserve"> 6. Otoczenie prawne</w:t>
            </w:r>
          </w:p>
        </w:tc>
        <w:tc>
          <w:tcPr>
            <w:tcW w:w="4678" w:type="dxa"/>
          </w:tcPr>
          <w:p w14:paraId="05B8FC3B" w14:textId="5923E76F" w:rsidR="00A06425" w:rsidRPr="00A06425" w:rsidRDefault="00E8133E" w:rsidP="00C2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8133E">
              <w:rPr>
                <w:rFonts w:asciiTheme="minorHAnsi" w:hAnsiTheme="minorHAnsi" w:cstheme="minorHAnsi"/>
                <w:sz w:val="22"/>
                <w:szCs w:val="22"/>
              </w:rPr>
              <w:t xml:space="preserve">W otoczeniu prawnym (pkt 6 OZPI) 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wymieniono </w:t>
            </w:r>
            <w:r w:rsidRPr="00E8133E">
              <w:rPr>
                <w:rFonts w:asciiTheme="minorHAnsi" w:hAnsiTheme="minorHAnsi" w:cstheme="minorHAnsi"/>
                <w:sz w:val="22"/>
                <w:szCs w:val="22"/>
              </w:rPr>
              <w:t xml:space="preserve">ustawy Prawo geodezyjne i kartograficzne na podstawie których funkcjonuje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Rejestr Cen Nieruchomości (</w:t>
            </w:r>
            <w:r w:rsidRPr="00E8133E">
              <w:rPr>
                <w:rFonts w:asciiTheme="minorHAnsi" w:hAnsiTheme="minorHAnsi" w:cstheme="minorHAnsi"/>
                <w:sz w:val="22"/>
                <w:szCs w:val="22"/>
              </w:rPr>
              <w:t>RCN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6207D0">
              <w:rPr>
                <w:rFonts w:asciiTheme="minorHAnsi" w:hAnsiTheme="minorHAnsi" w:cstheme="minorHAnsi"/>
                <w:sz w:val="22"/>
                <w:szCs w:val="22"/>
              </w:rPr>
              <w:t>. Dane z RCN publikowane są przez starostów w portalu dane.gov.pl</w:t>
            </w:r>
            <w:r w:rsidR="00C20D4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24B127D8" w14:textId="32894F0E" w:rsidR="00A06425" w:rsidRPr="00A06425" w:rsidRDefault="00C20D4B" w:rsidP="00C2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Prośba </w:t>
            </w:r>
            <w:r w:rsidR="00E8133E" w:rsidRPr="00E8133E">
              <w:rPr>
                <w:rFonts w:asciiTheme="minorHAnsi" w:hAnsiTheme="minorHAnsi" w:cstheme="minorHAnsi"/>
                <w:sz w:val="22"/>
                <w:szCs w:val="22"/>
              </w:rPr>
              <w:t xml:space="preserve">o analizę 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ewentualne uzupełnienie w pkt 6.</w:t>
            </w:r>
          </w:p>
        </w:tc>
        <w:tc>
          <w:tcPr>
            <w:tcW w:w="3827" w:type="dxa"/>
          </w:tcPr>
          <w:p w14:paraId="3B525D17" w14:textId="6AA4CE7D" w:rsidR="00A06425" w:rsidRPr="00A06425" w:rsidRDefault="00E727ED" w:rsidP="00C8011E">
            <w:r w:rsidRPr="00EE6B4B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Wyjaśnienie: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="00EE6B4B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="1FF15790" w:rsidRPr="25E62388">
              <w:rPr>
                <w:rFonts w:asciiTheme="minorHAnsi" w:hAnsiTheme="minorHAnsi" w:cstheme="minorBidi"/>
                <w:sz w:val="22"/>
                <w:szCs w:val="22"/>
              </w:rPr>
              <w:t xml:space="preserve">W otoczeniu prawnym (pkt 6 OZPI) nie została wymieniona ustawa Prawo geodezyjne i kartograficzne z uwagi na fakt, iż </w:t>
            </w:r>
            <w:r w:rsidR="7F360CE6" w:rsidRPr="25E62388">
              <w:rPr>
                <w:rFonts w:asciiTheme="minorHAnsi" w:hAnsiTheme="minorHAnsi" w:cstheme="minorBidi"/>
                <w:sz w:val="22"/>
                <w:szCs w:val="22"/>
              </w:rPr>
              <w:t xml:space="preserve">ww. </w:t>
            </w:r>
            <w:r w:rsidR="1A2125DA" w:rsidRPr="25E62388">
              <w:rPr>
                <w:rFonts w:asciiTheme="minorHAnsi" w:hAnsiTheme="minorHAnsi" w:cstheme="minorBidi"/>
                <w:sz w:val="22"/>
                <w:szCs w:val="22"/>
              </w:rPr>
              <w:t>a</w:t>
            </w:r>
            <w:r w:rsidR="7F360CE6" w:rsidRPr="25E62388">
              <w:rPr>
                <w:rFonts w:asciiTheme="minorHAnsi" w:hAnsiTheme="minorHAnsi" w:cstheme="minorBidi"/>
                <w:sz w:val="22"/>
                <w:szCs w:val="22"/>
              </w:rPr>
              <w:t xml:space="preserve">kt prawny nie wpływa na realizowany projekt Portal DOM, a także nie </w:t>
            </w:r>
            <w:r w:rsidR="7F360CE6" w:rsidRPr="25E62388">
              <w:rPr>
                <w:rFonts w:ascii="Calibri" w:eastAsia="Calibri" w:hAnsi="Calibri" w:cs="Calibri"/>
                <w:sz w:val="22"/>
                <w:szCs w:val="22"/>
              </w:rPr>
              <w:t>wymagał on żadnej zmiany w celu zapewnienia takiej gotowoś</w:t>
            </w:r>
            <w:r w:rsidR="10A274FA" w:rsidRPr="25E62388">
              <w:rPr>
                <w:rFonts w:ascii="Calibri" w:eastAsia="Calibri" w:hAnsi="Calibri" w:cs="Calibri"/>
                <w:sz w:val="22"/>
                <w:szCs w:val="22"/>
              </w:rPr>
              <w:t>ci do jego realizacji.</w:t>
            </w:r>
          </w:p>
        </w:tc>
      </w:tr>
    </w:tbl>
    <w:p w14:paraId="4DEAF853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5653F0"/>
    <w:multiLevelType w:val="hybridMultilevel"/>
    <w:tmpl w:val="8A624DA2"/>
    <w:lvl w:ilvl="0" w:tplc="789C6F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37E00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9EF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0C7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051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14D5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A272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82E3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E6C3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157BDB"/>
    <w:multiLevelType w:val="hybridMultilevel"/>
    <w:tmpl w:val="1FE29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335880">
    <w:abstractNumId w:val="1"/>
  </w:num>
  <w:num w:numId="2" w16cid:durableId="1679305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0219"/>
    <w:rsid w:val="00034258"/>
    <w:rsid w:val="000402EB"/>
    <w:rsid w:val="000747AD"/>
    <w:rsid w:val="000C25C7"/>
    <w:rsid w:val="00135492"/>
    <w:rsid w:val="00140BE8"/>
    <w:rsid w:val="00182A20"/>
    <w:rsid w:val="0019648E"/>
    <w:rsid w:val="002130FF"/>
    <w:rsid w:val="00242AE4"/>
    <w:rsid w:val="0024663D"/>
    <w:rsid w:val="00247B7C"/>
    <w:rsid w:val="00257400"/>
    <w:rsid w:val="00266F56"/>
    <w:rsid w:val="002715B2"/>
    <w:rsid w:val="002D4154"/>
    <w:rsid w:val="003124D1"/>
    <w:rsid w:val="00346E16"/>
    <w:rsid w:val="003A1FCA"/>
    <w:rsid w:val="003B4105"/>
    <w:rsid w:val="003E243E"/>
    <w:rsid w:val="0042266B"/>
    <w:rsid w:val="00426ED9"/>
    <w:rsid w:val="00464381"/>
    <w:rsid w:val="004C5118"/>
    <w:rsid w:val="004D086F"/>
    <w:rsid w:val="004E6A15"/>
    <w:rsid w:val="005F6527"/>
    <w:rsid w:val="0060304E"/>
    <w:rsid w:val="006207D0"/>
    <w:rsid w:val="0063675F"/>
    <w:rsid w:val="00666566"/>
    <w:rsid w:val="006705EC"/>
    <w:rsid w:val="006D5D32"/>
    <w:rsid w:val="006E16E9"/>
    <w:rsid w:val="00777E4B"/>
    <w:rsid w:val="0078181C"/>
    <w:rsid w:val="007C0B51"/>
    <w:rsid w:val="007F3EA3"/>
    <w:rsid w:val="00800FB4"/>
    <w:rsid w:val="00807385"/>
    <w:rsid w:val="00831276"/>
    <w:rsid w:val="008376DC"/>
    <w:rsid w:val="00915EFE"/>
    <w:rsid w:val="00933CF5"/>
    <w:rsid w:val="00944932"/>
    <w:rsid w:val="00951611"/>
    <w:rsid w:val="009726D3"/>
    <w:rsid w:val="009B4398"/>
    <w:rsid w:val="009C18FC"/>
    <w:rsid w:val="009D7A2B"/>
    <w:rsid w:val="009E5FDB"/>
    <w:rsid w:val="00A06425"/>
    <w:rsid w:val="00A17C0C"/>
    <w:rsid w:val="00A27B81"/>
    <w:rsid w:val="00A52FD6"/>
    <w:rsid w:val="00A77256"/>
    <w:rsid w:val="00AC7796"/>
    <w:rsid w:val="00AF3362"/>
    <w:rsid w:val="00AF3944"/>
    <w:rsid w:val="00AF41CE"/>
    <w:rsid w:val="00B10DF2"/>
    <w:rsid w:val="00B14ECB"/>
    <w:rsid w:val="00B67C84"/>
    <w:rsid w:val="00B871B6"/>
    <w:rsid w:val="00BE4745"/>
    <w:rsid w:val="00BE6690"/>
    <w:rsid w:val="00C133EF"/>
    <w:rsid w:val="00C20D4B"/>
    <w:rsid w:val="00C47872"/>
    <w:rsid w:val="00C50063"/>
    <w:rsid w:val="00C64B1B"/>
    <w:rsid w:val="00C758E4"/>
    <w:rsid w:val="00C8011E"/>
    <w:rsid w:val="00CD5EB0"/>
    <w:rsid w:val="00D519D7"/>
    <w:rsid w:val="00DA482C"/>
    <w:rsid w:val="00DF3426"/>
    <w:rsid w:val="00E042DA"/>
    <w:rsid w:val="00E14C33"/>
    <w:rsid w:val="00E24579"/>
    <w:rsid w:val="00E727ED"/>
    <w:rsid w:val="00E7555A"/>
    <w:rsid w:val="00E8133E"/>
    <w:rsid w:val="00E97A3D"/>
    <w:rsid w:val="00EC4749"/>
    <w:rsid w:val="00EE6B4B"/>
    <w:rsid w:val="00F167EC"/>
    <w:rsid w:val="00F251FC"/>
    <w:rsid w:val="00F2661A"/>
    <w:rsid w:val="00F313E2"/>
    <w:rsid w:val="00F64CE6"/>
    <w:rsid w:val="00FD6999"/>
    <w:rsid w:val="03881F5A"/>
    <w:rsid w:val="0AC52F65"/>
    <w:rsid w:val="0B757A45"/>
    <w:rsid w:val="0C4CB622"/>
    <w:rsid w:val="0DBC11CD"/>
    <w:rsid w:val="0EB48BC5"/>
    <w:rsid w:val="10855C7D"/>
    <w:rsid w:val="10A274FA"/>
    <w:rsid w:val="1167FC9A"/>
    <w:rsid w:val="11782155"/>
    <w:rsid w:val="11E1DC71"/>
    <w:rsid w:val="121926E8"/>
    <w:rsid w:val="1715D798"/>
    <w:rsid w:val="1797C10A"/>
    <w:rsid w:val="19EF40C7"/>
    <w:rsid w:val="19F7B038"/>
    <w:rsid w:val="1A2125DA"/>
    <w:rsid w:val="1AFD97A3"/>
    <w:rsid w:val="1BB0B57B"/>
    <w:rsid w:val="1EBB473D"/>
    <w:rsid w:val="1FCCD463"/>
    <w:rsid w:val="1FF15790"/>
    <w:rsid w:val="20FE62C7"/>
    <w:rsid w:val="2350E3EC"/>
    <w:rsid w:val="248ABAF0"/>
    <w:rsid w:val="25745BE5"/>
    <w:rsid w:val="25E62388"/>
    <w:rsid w:val="25FFBD27"/>
    <w:rsid w:val="283BF876"/>
    <w:rsid w:val="28CD578D"/>
    <w:rsid w:val="29EC6665"/>
    <w:rsid w:val="2B3D7EC7"/>
    <w:rsid w:val="2B782ADE"/>
    <w:rsid w:val="2CAA82D0"/>
    <w:rsid w:val="2CD51906"/>
    <w:rsid w:val="32CE6741"/>
    <w:rsid w:val="33F2DFF8"/>
    <w:rsid w:val="350E83FB"/>
    <w:rsid w:val="3531FAB9"/>
    <w:rsid w:val="35BB248F"/>
    <w:rsid w:val="36ED5B3D"/>
    <w:rsid w:val="38CA31E6"/>
    <w:rsid w:val="3DB213F1"/>
    <w:rsid w:val="4A05AC0F"/>
    <w:rsid w:val="4EAA39E4"/>
    <w:rsid w:val="4F0F0A37"/>
    <w:rsid w:val="57145AD5"/>
    <w:rsid w:val="5C7214C9"/>
    <w:rsid w:val="5D48C615"/>
    <w:rsid w:val="5F9F3F95"/>
    <w:rsid w:val="6A68C66E"/>
    <w:rsid w:val="6FFD9FEC"/>
    <w:rsid w:val="729E94E3"/>
    <w:rsid w:val="746B9922"/>
    <w:rsid w:val="7B8EAEF7"/>
    <w:rsid w:val="7D753357"/>
    <w:rsid w:val="7F36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6D46F2"/>
  <w15:chartTrackingRefBased/>
  <w15:docId w15:val="{FF7C2C6E-4176-4BA3-9C78-C17FA7F66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35492"/>
    <w:pPr>
      <w:ind w:left="720"/>
      <w:contextualSpacing/>
    </w:pPr>
  </w:style>
  <w:style w:type="character" w:styleId="Odwoaniedokomentarza">
    <w:name w:val="annotation reference"/>
    <w:basedOn w:val="Domylnaczcionkaakapitu"/>
    <w:rsid w:val="00DA482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A482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A482C"/>
  </w:style>
  <w:style w:type="paragraph" w:styleId="Tematkomentarza">
    <w:name w:val="annotation subject"/>
    <w:basedOn w:val="Tekstkomentarza"/>
    <w:next w:val="Tekstkomentarza"/>
    <w:link w:val="TematkomentarzaZnak"/>
    <w:rsid w:val="00DA48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A482C"/>
    <w:rPr>
      <w:b/>
      <w:bCs/>
    </w:rPr>
  </w:style>
  <w:style w:type="character" w:styleId="Hipercze">
    <w:name w:val="Hyperlink"/>
    <w:basedOn w:val="Domylnaczcionkaakapitu"/>
    <w:rsid w:val="00B10D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10DF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10DF2"/>
    <w:rPr>
      <w:sz w:val="24"/>
      <w:szCs w:val="24"/>
    </w:rPr>
  </w:style>
  <w:style w:type="character" w:styleId="Wzmianka">
    <w:name w:val="Mention"/>
    <w:basedOn w:val="Domylnaczcionkaakapitu"/>
    <w:uiPriority w:val="99"/>
    <w:unhideWhenUsed/>
    <w:rsid w:val="00182A2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oportal.gov.pl/aktualnosci/instrukcja-publikacji-danych-rcn-na-portalu-otwartych-danych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6744C7D7285248976A603FF14D3185" ma:contentTypeVersion="14" ma:contentTypeDescription="Utwórz nowy dokument." ma:contentTypeScope="" ma:versionID="d8701f88efaec9dfa0dd7d86eff35c0f">
  <xsd:schema xmlns:xsd="http://www.w3.org/2001/XMLSchema" xmlns:xs="http://www.w3.org/2001/XMLSchema" xmlns:p="http://schemas.microsoft.com/office/2006/metadata/properties" xmlns:ns2="c1b949e0-ac03-4b35-b268-56214b31e2a3" xmlns:ns3="d3c51075-3231-4a57-82e9-af6caa1d2ea9" targetNamespace="http://schemas.microsoft.com/office/2006/metadata/properties" ma:root="true" ma:fieldsID="ffda89e2299d6b13e11970da0668658e" ns2:_="" ns3:_="">
    <xsd:import namespace="c1b949e0-ac03-4b35-b268-56214b31e2a3"/>
    <xsd:import namespace="d3c51075-3231-4a57-82e9-af6caa1d2e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949e0-ac03-4b35-b268-56214b31e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1a34c50-8ce3-43a6-9180-a5cd47efb2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51075-3231-4a57-82e9-af6caa1d2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b63c1e7-8113-4985-ac5c-93a84d876cd3}" ma:internalName="TaxCatchAll" ma:showField="CatchAllData" ma:web="d3c51075-3231-4a57-82e9-af6caa1d2e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b949e0-ac03-4b35-b268-56214b31e2a3">
      <Terms xmlns="http://schemas.microsoft.com/office/infopath/2007/PartnerControls"/>
    </lcf76f155ced4ddcb4097134ff3c332f>
    <TaxCatchAll xmlns="d3c51075-3231-4a57-82e9-af6caa1d2ea9" xsi:nil="true"/>
  </documentManagement>
</p:properties>
</file>

<file path=customXml/itemProps1.xml><?xml version="1.0" encoding="utf-8"?>
<ds:datastoreItem xmlns:ds="http://schemas.openxmlformats.org/officeDocument/2006/customXml" ds:itemID="{F847F5A8-F23E-4667-9D1C-BF022978E8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C6F3E5-8CE3-449A-B815-4CBE7B2FEE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949e0-ac03-4b35-b268-56214b31e2a3"/>
    <ds:schemaRef ds:uri="d3c51075-3231-4a57-82e9-af6caa1d2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5C3BFA-0ECB-4D5F-8833-7FB07075549F}">
  <ds:schemaRefs>
    <ds:schemaRef ds:uri="http://schemas.microsoft.com/office/2006/metadata/properties"/>
    <ds:schemaRef ds:uri="http://schemas.microsoft.com/office/infopath/2007/PartnerControls"/>
    <ds:schemaRef ds:uri="c1b949e0-ac03-4b35-b268-56214b31e2a3"/>
    <ds:schemaRef ds:uri="d3c51075-3231-4a57-82e9-af6caa1d2ea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704</Words>
  <Characters>4226</Characters>
  <Application>Microsoft Office Word</Application>
  <DocSecurity>0</DocSecurity>
  <Lines>35</Lines>
  <Paragraphs>9</Paragraphs>
  <ScaleCrop>false</ScaleCrop>
  <Company>MSWIA</Company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Marlena Tryka</cp:lastModifiedBy>
  <cp:revision>27</cp:revision>
  <dcterms:created xsi:type="dcterms:W3CDTF">2026-07-17T06:51:00Z</dcterms:created>
  <dcterms:modified xsi:type="dcterms:W3CDTF">2026-07-20T13:39:00Z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0x010100786744C7D7285248976A603FF14D3185</vt:lpwstr>
  </property>
  <property fmtid="{D5CDD505-2E9C-101B-9397-08002B2CF9AE}" pid="3" name="MediaServiceImageTags">
    <vt:lpwstr/>
  </property>
</Properties>
</file>